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REGLAMENTO INTERNO DE ORDEN, HIGIENE Y SEGURIDAD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[NOMBRE EMPRESA]</w:t>
        <w:br/>
        <w:t>RUT: [XX.XXX.XXX-X]</w:t>
        <w:br/>
        <w:t>Vigente desde: [FECHA]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I — DISPOSICIONES GENERALES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1: El presente Reglamento se dicta en cumplimiento del Art. 153 y siguientes del Código del Trabajo, y tiene por objeto regular las condiciones de trabajo, higiene, seguridad y conducta en [NOMBRE EMPRESA].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2: Las normas de este reglamento son obligatorias para todos los trabajadores de la empresa, sin distinción de cargo o función.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II — INGRESO Y CONTRATO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3: Todo trabajador, al ingresar a la empresa, deberá presentar: cédula de identidad, certificado de antecedentes, currículum, declaración de afiliación a AFP y salud.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4: El contrato se firmará dentro de los 15 días desde el inicio de la prestación de servicios (Art. 9 Código del Trabajo).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III — JORNADA DE TRABAJO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5: La jornada ordinaria es de [44 horas semanales, en transición a 40 horas según Ley 21.561], distribuidas de [LUNES A VIERNES / OTRO] entre las [HORA] y las [HORA].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6: El tiempo de descanso para colación es de [30 min / 1 hora] y no se considera parte de la jornada laboral.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IV — REMUNERACIÓN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7: La remuneración mensual se paga el día [DÍA DE PAGO] de cada mes por transferencia electrónica.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8: Las gratificaciones se calculan según el Art. [47/50] del Código del Trabajo.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V — FERIADO ANUAL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9: Todo trabajador con un año de servicio tiene derecho a feriado de 15 días hábiles, según Art. 67 del Código del Trabajo.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VI — OBLIGACIONES Y PROHIBICIONES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10: Son obligaciones del trabajador: cumplir el horario, respetar a compañeros, mantener confidencialidad, conservar bienes de la empresa.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11: Está prohibido: presentarse en estado de intemperancia, atrasos reiterados, sustraer bienes, agresión verbal o física, acoso laboral o sexual.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VII — LEY KARIN — ACOSO LABORAL Y SEXUAL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12: La empresa tiene un Protocolo específico de prevención y sanción del acoso laboral, sexual y violencia en el trabajo (Ley 21.643), disponible en [LUGAR] y publicado en el lugar visible.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13: Cualquier trabajador puede denunciar conductas de acoso por las vías establecidas en el protocolo, con garantía de confidencialidad.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VIII — HIGIENE Y SEGURIDAD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14: Todo trabajador debe usar los elementos de protección personal entregados por la empresa.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15: Los riesgos del trabajo son: [DETALLAR SEGÚN GIRO]. La empresa adopta medidas preventivas conforme a las normas vigentes.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IX — SANCIONES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16: Las infracciones se sancionan con: (a) amonestación verbal, (b) amonestación escrita con copia a hoja de vida, (c) multa hasta el 25% de la remuneración diaria, (d) suspensión hasta 7 días, (e) término del contrato por causal Art. 160.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CAPÍTULO X — VIGENCIA Y MODIFICACIONES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Art. 17: El presente reglamento entra en vigencia el [FECHA] y se mantiene hasta su modificación. Las modificaciones se notifican a los trabajadores con 30 días de anticipación.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Aprobado por: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 REPRESENTANTE LEGAL]</w:t>
        <w:br/>
        <w:t>RUT:</w:t>
        <w:br/>
        <w:t>[CARGO]</w:t>
        <w:br/>
        <w:t>[NOMBRE EMPRESA]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